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jc w:val="both"/>
        <w:rPr>
          <w:rFonts w:hint="eastAsia" w:ascii="宋体" w:hAnsi="宋体" w:eastAsia="宋体" w:cs="宋体"/>
          <w:b/>
          <w:bCs/>
          <w:sz w:val="30"/>
          <w:szCs w:val="30"/>
        </w:rPr>
      </w:pPr>
      <w:r>
        <w:rPr>
          <w:rFonts w:hint="eastAsia"/>
          <w:lang w:val="en-US" w:eastAsia="zh-CN"/>
        </w:rPr>
        <w:t>附件1：</w:t>
      </w:r>
      <w:r>
        <w:rPr>
          <w:rFonts w:hint="eastAsia" w:ascii="宋体" w:hAnsi="宋体" w:eastAsia="宋体" w:cs="宋体"/>
          <w:b/>
          <w:bCs/>
          <w:sz w:val="30"/>
          <w:szCs w:val="30"/>
          <w:lang w:eastAsia="zh-CN"/>
        </w:rPr>
        <w:t>采购需求</w:t>
      </w:r>
      <w:r>
        <w:rPr>
          <w:rFonts w:hint="eastAsia" w:ascii="宋体" w:hAnsi="宋体" w:eastAsia="宋体" w:cs="宋体"/>
          <w:b/>
          <w:bCs/>
          <w:sz w:val="30"/>
          <w:szCs w:val="30"/>
        </w:rPr>
        <w:t>清单</w:t>
      </w:r>
    </w:p>
    <w:p>
      <w:pPr>
        <w:pStyle w:val="2"/>
        <w:ind w:firstLine="0" w:firstLineChars="0"/>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一、产品清单</w:t>
      </w:r>
    </w:p>
    <w:tbl>
      <w:tblPr>
        <w:tblStyle w:val="8"/>
        <w:tblW w:w="8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179"/>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16"/>
              <w:spacing w:line="360" w:lineRule="auto"/>
              <w:ind w:firstLine="0" w:firstLineChars="0"/>
              <w:jc w:val="center"/>
              <w:rPr>
                <w:rFonts w:ascii="宋体" w:hAnsi="宋体" w:eastAsia="宋体"/>
                <w:szCs w:val="21"/>
              </w:rPr>
            </w:pPr>
            <w:r>
              <w:rPr>
                <w:rFonts w:hint="eastAsia" w:ascii="宋体" w:hAnsi="宋体" w:eastAsia="宋体"/>
                <w:szCs w:val="21"/>
              </w:rPr>
              <w:t>序号</w:t>
            </w:r>
          </w:p>
        </w:tc>
        <w:tc>
          <w:tcPr>
            <w:tcW w:w="6179" w:type="dxa"/>
          </w:tcPr>
          <w:p>
            <w:pPr>
              <w:pStyle w:val="16"/>
              <w:spacing w:line="360" w:lineRule="auto"/>
              <w:ind w:firstLine="0" w:firstLineChars="0"/>
              <w:jc w:val="center"/>
              <w:rPr>
                <w:rFonts w:ascii="宋体" w:hAnsi="宋体" w:eastAsia="宋体"/>
                <w:szCs w:val="21"/>
              </w:rPr>
            </w:pPr>
            <w:r>
              <w:rPr>
                <w:rFonts w:hint="eastAsia" w:ascii="宋体" w:hAnsi="宋体" w:eastAsia="宋体"/>
                <w:szCs w:val="21"/>
              </w:rPr>
              <w:t>名称</w:t>
            </w:r>
          </w:p>
        </w:tc>
        <w:tc>
          <w:tcPr>
            <w:tcW w:w="1562" w:type="dxa"/>
          </w:tcPr>
          <w:p>
            <w:pPr>
              <w:pStyle w:val="16"/>
              <w:spacing w:line="360" w:lineRule="auto"/>
              <w:ind w:firstLine="0" w:firstLineChars="0"/>
              <w:jc w:val="center"/>
              <w:rPr>
                <w:rFonts w:hint="eastAsia" w:ascii="宋体" w:hAnsi="宋体" w:eastAsia="宋体"/>
                <w:szCs w:val="21"/>
                <w:lang w:eastAsia="zh-CN"/>
              </w:rPr>
            </w:pPr>
            <w:r>
              <w:rPr>
                <w:rFonts w:hint="eastAsia" w:ascii="宋体" w:hAnsi="宋体"/>
                <w:szCs w:val="21"/>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pStyle w:val="16"/>
              <w:spacing w:line="360" w:lineRule="auto"/>
              <w:ind w:firstLine="0" w:firstLineChars="0"/>
              <w:jc w:val="center"/>
              <w:rPr>
                <w:rFonts w:ascii="宋体" w:hAnsi="宋体" w:eastAsia="宋体"/>
                <w:szCs w:val="21"/>
              </w:rPr>
            </w:pPr>
            <w:r>
              <w:rPr>
                <w:rFonts w:hint="eastAsia" w:ascii="宋体" w:hAnsi="宋体" w:eastAsia="宋体"/>
                <w:szCs w:val="21"/>
              </w:rPr>
              <w:t>1</w:t>
            </w:r>
          </w:p>
        </w:tc>
        <w:tc>
          <w:tcPr>
            <w:tcW w:w="6179" w:type="dxa"/>
          </w:tcPr>
          <w:p>
            <w:pPr>
              <w:pStyle w:val="16"/>
              <w:spacing w:line="360" w:lineRule="auto"/>
              <w:ind w:firstLine="0" w:firstLineChars="0"/>
              <w:rPr>
                <w:rFonts w:hint="default" w:ascii="宋体" w:hAnsi="宋体" w:eastAsia="宋体"/>
                <w:szCs w:val="21"/>
                <w:lang w:val="en-US" w:eastAsia="zh-CN"/>
              </w:rPr>
            </w:pPr>
            <w:r>
              <w:rPr>
                <w:rFonts w:hint="eastAsia" w:ascii="宋体" w:hAnsi="宋体" w:eastAsia="宋体"/>
                <w:szCs w:val="21"/>
              </w:rPr>
              <w:t>财政医疗电子票据管理系统实施服务</w:t>
            </w:r>
            <w:r>
              <w:rPr>
                <w:rFonts w:hint="eastAsia" w:ascii="宋体" w:hAnsi="宋体"/>
                <w:szCs w:val="21"/>
                <w:lang w:val="en-US" w:eastAsia="zh-CN"/>
              </w:rPr>
              <w:t>(含自助机接口改造)</w:t>
            </w:r>
            <w:bookmarkStart w:id="0" w:name="_GoBack"/>
            <w:bookmarkEnd w:id="0"/>
          </w:p>
        </w:tc>
        <w:tc>
          <w:tcPr>
            <w:tcW w:w="1562" w:type="dxa"/>
          </w:tcPr>
          <w:p>
            <w:pPr>
              <w:pStyle w:val="16"/>
              <w:spacing w:line="360" w:lineRule="auto"/>
              <w:ind w:firstLine="0" w:firstLineChars="0"/>
              <w:jc w:val="center"/>
              <w:rPr>
                <w:rFonts w:hint="default" w:ascii="宋体" w:hAnsi="宋体" w:eastAsia="宋体"/>
                <w:szCs w:val="21"/>
                <w:lang w:val="en-US" w:eastAsia="zh-CN"/>
              </w:rPr>
            </w:pPr>
            <w:r>
              <w:rPr>
                <w:rFonts w:hint="eastAsia" w:ascii="宋体" w:hAnsi="宋体"/>
                <w:szCs w:val="21"/>
                <w:lang w:val="en-US" w:eastAsia="zh-CN"/>
              </w:rPr>
              <w:t>1套</w:t>
            </w:r>
          </w:p>
        </w:tc>
      </w:tr>
    </w:tbl>
    <w:p>
      <w:pPr>
        <w:pStyle w:val="2"/>
        <w:numPr>
          <w:ilvl w:val="0"/>
          <w:numId w:val="0"/>
        </w:numPr>
        <w:jc w:val="both"/>
        <w:rPr>
          <w:rFonts w:hint="eastAsia" w:ascii="仿宋" w:hAnsi="仿宋" w:eastAsia="仿宋" w:cs="仿宋"/>
          <w:b/>
          <w:kern w:val="0"/>
          <w:lang w:val="en-US" w:eastAsia="zh-CN"/>
        </w:rPr>
      </w:pPr>
      <w:r>
        <w:rPr>
          <w:rFonts w:hint="eastAsia" w:ascii="仿宋" w:hAnsi="仿宋" w:eastAsia="仿宋" w:cs="仿宋"/>
          <w:b/>
          <w:kern w:val="0"/>
          <w:sz w:val="28"/>
          <w:szCs w:val="28"/>
          <w:lang w:val="en-US" w:eastAsia="zh-CN"/>
        </w:rPr>
        <w:t>1、</w:t>
      </w:r>
      <w:r>
        <w:rPr>
          <w:rFonts w:hint="eastAsia" w:ascii="仿宋" w:hAnsi="仿宋" w:eastAsia="仿宋" w:cs="仿宋"/>
          <w:b/>
          <w:kern w:val="0"/>
          <w:sz w:val="28"/>
          <w:szCs w:val="28"/>
        </w:rPr>
        <w:t>医疗电子票据管理系统</w:t>
      </w:r>
      <w:r>
        <w:rPr>
          <w:rFonts w:hint="eastAsia" w:ascii="仿宋" w:hAnsi="仿宋" w:eastAsia="仿宋" w:cs="仿宋"/>
          <w:b/>
          <w:kern w:val="0"/>
          <w:sz w:val="28"/>
          <w:szCs w:val="28"/>
          <w:lang w:eastAsia="zh-CN"/>
        </w:rPr>
        <w:t>功能模块</w:t>
      </w:r>
    </w:p>
    <w:tbl>
      <w:tblPr>
        <w:tblStyle w:val="7"/>
        <w:tblW w:w="8443" w:type="dxa"/>
        <w:tblInd w:w="0" w:type="dxa"/>
        <w:tblLayout w:type="fixed"/>
        <w:tblCellMar>
          <w:top w:w="0" w:type="dxa"/>
          <w:left w:w="108" w:type="dxa"/>
          <w:bottom w:w="0" w:type="dxa"/>
          <w:right w:w="108" w:type="dxa"/>
        </w:tblCellMar>
      </w:tblPr>
      <w:tblGrid>
        <w:gridCol w:w="846"/>
        <w:gridCol w:w="1282"/>
        <w:gridCol w:w="1665"/>
        <w:gridCol w:w="4650"/>
      </w:tblGrid>
      <w:tr>
        <w:tblPrEx>
          <w:tblCellMar>
            <w:top w:w="0" w:type="dxa"/>
            <w:left w:w="108" w:type="dxa"/>
            <w:bottom w:w="0" w:type="dxa"/>
            <w:right w:w="108" w:type="dxa"/>
          </w:tblCellMar>
        </w:tblPrEx>
        <w:trPr>
          <w:trHeight w:val="20" w:hRule="atLeast"/>
          <w:tblHeader/>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kern w:val="0"/>
                <w:sz w:val="18"/>
                <w:szCs w:val="18"/>
              </w:rPr>
            </w:pPr>
            <w:r>
              <w:rPr>
                <w:rFonts w:hint="eastAsia" w:ascii="仿宋" w:hAnsi="仿宋" w:eastAsia="仿宋" w:cs="仿宋"/>
                <w:b/>
                <w:kern w:val="0"/>
                <w:sz w:val="18"/>
                <w:szCs w:val="18"/>
              </w:rPr>
              <w:t>序号</w:t>
            </w:r>
          </w:p>
        </w:tc>
        <w:tc>
          <w:tcPr>
            <w:tcW w:w="12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kern w:val="0"/>
                <w:sz w:val="18"/>
                <w:szCs w:val="18"/>
              </w:rPr>
            </w:pPr>
            <w:r>
              <w:rPr>
                <w:rFonts w:hint="eastAsia" w:ascii="仿宋" w:hAnsi="仿宋" w:eastAsia="仿宋" w:cs="仿宋"/>
                <w:b/>
                <w:kern w:val="0"/>
                <w:sz w:val="18"/>
                <w:szCs w:val="18"/>
              </w:rPr>
              <w:t>功能模块</w:t>
            </w:r>
          </w:p>
        </w:tc>
        <w:tc>
          <w:tcPr>
            <w:tcW w:w="63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kern w:val="0"/>
                <w:sz w:val="18"/>
                <w:szCs w:val="18"/>
              </w:rPr>
            </w:pPr>
            <w:r>
              <w:rPr>
                <w:rFonts w:hint="eastAsia" w:ascii="仿宋" w:hAnsi="仿宋" w:eastAsia="仿宋" w:cs="仿宋"/>
                <w:b/>
                <w:kern w:val="0"/>
                <w:sz w:val="18"/>
                <w:szCs w:val="18"/>
              </w:rPr>
              <w:t>功能及技术参数</w:t>
            </w:r>
          </w:p>
        </w:tc>
      </w:tr>
      <w:tr>
        <w:tblPrEx>
          <w:tblCellMar>
            <w:top w:w="0" w:type="dxa"/>
            <w:left w:w="108" w:type="dxa"/>
            <w:bottom w:w="0" w:type="dxa"/>
            <w:right w:w="108" w:type="dxa"/>
          </w:tblCellMar>
        </w:tblPrEx>
        <w:trPr>
          <w:trHeight w:val="20"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c>
          <w:tcPr>
            <w:tcW w:w="12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基础信息</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单位管理</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ascii="仿宋" w:hAnsi="仿宋" w:eastAsia="仿宋" w:cs="仿宋"/>
                <w:sz w:val="18"/>
                <w:szCs w:val="18"/>
              </w:rPr>
            </w:pPr>
            <w:r>
              <w:rPr>
                <w:rFonts w:hint="eastAsia" w:ascii="仿宋" w:hAnsi="仿宋" w:eastAsia="仿宋" w:cs="仿宋"/>
                <w:sz w:val="18"/>
                <w:szCs w:val="18"/>
              </w:rPr>
              <w:t>通过单位管理可以创建领票单位和用票单位。维护单位时支持修改操作</w:t>
            </w:r>
          </w:p>
        </w:tc>
      </w:tr>
      <w:tr>
        <w:tblPrEx>
          <w:tblCellMar>
            <w:top w:w="0" w:type="dxa"/>
            <w:left w:w="108" w:type="dxa"/>
            <w:bottom w:w="0" w:type="dxa"/>
            <w:right w:w="108" w:type="dxa"/>
          </w:tblCellMar>
        </w:tblPrEx>
        <w:trPr>
          <w:trHeight w:val="20" w:hRule="atLeas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18"/>
                <w:szCs w:val="18"/>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18"/>
                <w:szCs w:val="18"/>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票据信息查询</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ascii="仿宋" w:hAnsi="仿宋" w:eastAsia="仿宋" w:cs="仿宋"/>
                <w:sz w:val="18"/>
                <w:szCs w:val="18"/>
              </w:rPr>
            </w:pPr>
            <w:r>
              <w:rPr>
                <w:rFonts w:hint="eastAsia" w:ascii="仿宋" w:hAnsi="仿宋" w:eastAsia="仿宋" w:cs="仿宋"/>
                <w:sz w:val="18"/>
                <w:szCs w:val="18"/>
              </w:rPr>
              <w:t>单位对可用票据种类进行查询(从非税中台同步)</w:t>
            </w:r>
          </w:p>
        </w:tc>
      </w:tr>
      <w:tr>
        <w:tblPrEx>
          <w:tblCellMar>
            <w:top w:w="0" w:type="dxa"/>
            <w:left w:w="108" w:type="dxa"/>
            <w:bottom w:w="0" w:type="dxa"/>
            <w:right w:w="108" w:type="dxa"/>
          </w:tblCellMar>
        </w:tblPrEx>
        <w:trPr>
          <w:trHeight w:val="1218" w:hRule="atLeas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18"/>
                <w:szCs w:val="18"/>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18"/>
                <w:szCs w:val="18"/>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收入项目查询</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ascii="仿宋" w:hAnsi="仿宋" w:eastAsia="仿宋" w:cs="仿宋"/>
                <w:sz w:val="18"/>
                <w:szCs w:val="18"/>
              </w:rPr>
            </w:pPr>
            <w:r>
              <w:rPr>
                <w:rFonts w:hint="eastAsia" w:ascii="仿宋" w:hAnsi="仿宋" w:eastAsia="仿宋" w:cs="仿宋"/>
                <w:sz w:val="18"/>
                <w:szCs w:val="18"/>
              </w:rPr>
              <w:t>医院业务系统中的项目通过项目维护功能手工录入到医疗电子票据系统，维护的目的是供基础数据对照时与财政项目做对照使用。维护项目信息时支持新增、查看、修改、删除功能(一个明细项目只可挂接到一个主项目)</w:t>
            </w:r>
          </w:p>
        </w:tc>
      </w:tr>
      <w:tr>
        <w:tblPrEx>
          <w:tblCellMar>
            <w:top w:w="0" w:type="dxa"/>
            <w:left w:w="108" w:type="dxa"/>
            <w:bottom w:w="0" w:type="dxa"/>
            <w:right w:w="108" w:type="dxa"/>
          </w:tblCellMar>
        </w:tblPrEx>
        <w:trPr>
          <w:trHeight w:val="1128" w:hRule="atLeas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18"/>
                <w:szCs w:val="18"/>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18"/>
                <w:szCs w:val="18"/>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开票点管理</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ascii="仿宋" w:hAnsi="仿宋" w:eastAsia="仿宋" w:cs="仿宋"/>
                <w:kern w:val="0"/>
                <w:sz w:val="18"/>
                <w:szCs w:val="18"/>
              </w:rPr>
            </w:pPr>
            <w:r>
              <w:rPr>
                <w:rFonts w:hint="eastAsia" w:ascii="仿宋" w:hAnsi="仿宋" w:eastAsia="仿宋" w:cs="仿宋"/>
                <w:sz w:val="18"/>
                <w:szCs w:val="18"/>
              </w:rPr>
              <w:t>通过开票点管理可以创建医院开票点。新建开票点时，要给该开票点配置可用项目、可用票据等。开票点负责开票、打印、作废票号等。维护开票点时支持新建、修改、删除操作</w:t>
            </w:r>
          </w:p>
        </w:tc>
      </w:tr>
      <w:tr>
        <w:tblPrEx>
          <w:tblCellMar>
            <w:top w:w="0" w:type="dxa"/>
            <w:left w:w="108" w:type="dxa"/>
            <w:bottom w:w="0" w:type="dxa"/>
            <w:right w:w="108" w:type="dxa"/>
          </w:tblCellMar>
        </w:tblPrEx>
        <w:trPr>
          <w:trHeight w:val="20" w:hRule="atLeas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18"/>
                <w:szCs w:val="18"/>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18"/>
                <w:szCs w:val="18"/>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开票员管理</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ascii="仿宋" w:hAnsi="仿宋" w:eastAsia="仿宋" w:cs="仿宋"/>
                <w:sz w:val="18"/>
                <w:szCs w:val="18"/>
              </w:rPr>
            </w:pPr>
            <w:r>
              <w:rPr>
                <w:rFonts w:hint="eastAsia" w:ascii="仿宋" w:hAnsi="仿宋" w:eastAsia="仿宋" w:cs="仿宋"/>
                <w:sz w:val="18"/>
                <w:szCs w:val="18"/>
              </w:rPr>
              <w:t>通过开票员管理可以创建医疗开票点开票员，开票员负责开票、打印、冲红票据等。维护开票员时支持新建、修改、删除操作</w:t>
            </w:r>
          </w:p>
        </w:tc>
      </w:tr>
      <w:tr>
        <w:tblPrEx>
          <w:tblCellMar>
            <w:top w:w="0" w:type="dxa"/>
            <w:left w:w="108" w:type="dxa"/>
            <w:bottom w:w="0" w:type="dxa"/>
            <w:right w:w="108" w:type="dxa"/>
          </w:tblCellMar>
        </w:tblPrEx>
        <w:trPr>
          <w:trHeight w:val="20" w:hRule="atLeas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18"/>
                <w:szCs w:val="18"/>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18"/>
                <w:szCs w:val="18"/>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印章维护</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ascii="仿宋" w:hAnsi="仿宋" w:eastAsia="仿宋" w:cs="仿宋"/>
                <w:sz w:val="18"/>
                <w:szCs w:val="18"/>
              </w:rPr>
            </w:pPr>
            <w:r>
              <w:rPr>
                <w:rFonts w:hint="eastAsia" w:ascii="仿宋" w:hAnsi="仿宋" w:eastAsia="仿宋" w:cs="仿宋"/>
                <w:sz w:val="18"/>
                <w:szCs w:val="18"/>
              </w:rPr>
              <w:t>单位通过电子印章维护挂接电子印章信息，通过挂接的电子印章信息进行票据开具验证</w:t>
            </w:r>
          </w:p>
        </w:tc>
      </w:tr>
      <w:tr>
        <w:tblPrEx>
          <w:tblCellMar>
            <w:top w:w="0" w:type="dxa"/>
            <w:left w:w="108" w:type="dxa"/>
            <w:bottom w:w="0" w:type="dxa"/>
            <w:right w:w="108" w:type="dxa"/>
          </w:tblCellMar>
        </w:tblPrEx>
        <w:trPr>
          <w:trHeight w:val="20" w:hRule="atLeas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18"/>
                <w:szCs w:val="18"/>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18"/>
                <w:szCs w:val="18"/>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项目信息查询</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ascii="仿宋" w:hAnsi="仿宋" w:eastAsia="仿宋" w:cs="仿宋"/>
                <w:sz w:val="18"/>
                <w:szCs w:val="18"/>
              </w:rPr>
            </w:pPr>
            <w:r>
              <w:rPr>
                <w:rFonts w:hint="eastAsia" w:ascii="仿宋" w:hAnsi="仿宋" w:eastAsia="仿宋" w:cs="仿宋"/>
                <w:sz w:val="18"/>
                <w:szCs w:val="18"/>
              </w:rPr>
              <w:t>单位对可用项目的基础数据进行查询(从非税中台同步)</w:t>
            </w:r>
          </w:p>
        </w:tc>
      </w:tr>
      <w:tr>
        <w:tblPrEx>
          <w:tblCellMar>
            <w:top w:w="0" w:type="dxa"/>
            <w:left w:w="108" w:type="dxa"/>
            <w:bottom w:w="0" w:type="dxa"/>
            <w:right w:w="108" w:type="dxa"/>
          </w:tblCellMar>
        </w:tblPrEx>
        <w:trPr>
          <w:trHeight w:val="1580" w:hRule="atLeast"/>
        </w:trPr>
        <w:tc>
          <w:tcPr>
            <w:tcW w:w="84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12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票据管理</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年度用票计划申领</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ascii="仿宋" w:hAnsi="仿宋" w:eastAsia="仿宋" w:cs="仿宋"/>
                <w:sz w:val="18"/>
                <w:szCs w:val="18"/>
              </w:rPr>
            </w:pPr>
            <w:r>
              <w:rPr>
                <w:rFonts w:hint="eastAsia" w:ascii="仿宋" w:hAnsi="仿宋" w:eastAsia="仿宋" w:cs="仿宋"/>
                <w:sz w:val="18"/>
                <w:szCs w:val="18"/>
              </w:rPr>
              <w:t>医院向财政部门发起用票申请，由票据管理人员在线填写票据年度用票计划信息(申请下一年的用票总数)，并提交给财政，财政接收到申领信息，经审批后，并下发票号信息，医院进行入库确认(一年只可申报一次)。</w:t>
            </w:r>
          </w:p>
        </w:tc>
      </w:tr>
      <w:tr>
        <w:tblPrEx>
          <w:tblCellMar>
            <w:top w:w="0" w:type="dxa"/>
            <w:left w:w="108" w:type="dxa"/>
            <w:bottom w:w="0" w:type="dxa"/>
            <w:right w:w="108" w:type="dxa"/>
          </w:tblCellMar>
        </w:tblPrEx>
        <w:trPr>
          <w:trHeight w:val="20" w:hRule="atLeas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18"/>
                <w:szCs w:val="18"/>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年中补充用票申领</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r>
              <w:rPr>
                <w:rFonts w:hint="eastAsia" w:ascii="仿宋" w:hAnsi="仿宋" w:eastAsia="仿宋" w:cs="仿宋"/>
                <w:sz w:val="18"/>
                <w:szCs w:val="18"/>
              </w:rPr>
              <w:t>医院向财政部门发起用票申请，由票据管理人员在线填写票据年中用票计划信息，并提交给财政，财政接收到申领信息，经审批后，并下发票号信息，医院进行入库确认(一年只可申报多次)。</w:t>
            </w:r>
          </w:p>
        </w:tc>
      </w:tr>
      <w:tr>
        <w:tblPrEx>
          <w:tblCellMar>
            <w:top w:w="0" w:type="dxa"/>
            <w:left w:w="108" w:type="dxa"/>
            <w:bottom w:w="0" w:type="dxa"/>
            <w:right w:w="108" w:type="dxa"/>
          </w:tblCellMar>
        </w:tblPrEx>
        <w:trPr>
          <w:trHeight w:val="20"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c>
          <w:tcPr>
            <w:tcW w:w="12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开票管理</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签名对接</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与签名服务器(国密)对接，完成电子票据的单位签名</w:t>
            </w:r>
          </w:p>
        </w:tc>
      </w:tr>
      <w:tr>
        <w:tblPrEx>
          <w:tblCellMar>
            <w:top w:w="0" w:type="dxa"/>
            <w:left w:w="108" w:type="dxa"/>
            <w:bottom w:w="0" w:type="dxa"/>
            <w:right w:w="108" w:type="dxa"/>
          </w:tblCellMar>
        </w:tblPrEx>
        <w:trPr>
          <w:trHeight w:val="20" w:hRule="atLeas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18"/>
                <w:szCs w:val="18"/>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ascii="仿宋" w:hAnsi="仿宋" w:eastAsia="仿宋" w:cs="仿宋"/>
                <w:sz w:val="18"/>
                <w:szCs w:val="18"/>
              </w:rPr>
            </w:pPr>
            <w:r>
              <w:rPr>
                <w:rFonts w:hint="eastAsia" w:ascii="仿宋" w:hAnsi="仿宋" w:eastAsia="仿宋" w:cs="仿宋"/>
                <w:sz w:val="18"/>
                <w:szCs w:val="18"/>
              </w:rPr>
              <w:t>门诊票据</w:t>
            </w:r>
            <w:r>
              <w:rPr>
                <w:rFonts w:hint="eastAsia" w:ascii="仿宋" w:hAnsi="仿宋" w:eastAsia="仿宋" w:cs="仿宋"/>
                <w:kern w:val="0"/>
                <w:sz w:val="18"/>
                <w:szCs w:val="18"/>
              </w:rPr>
              <w:t>开具</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ascii="仿宋" w:hAnsi="仿宋" w:eastAsia="仿宋" w:cs="仿宋"/>
                <w:sz w:val="18"/>
                <w:szCs w:val="18"/>
              </w:rPr>
            </w:pPr>
            <w:r>
              <w:rPr>
                <w:rFonts w:hint="eastAsia" w:ascii="仿宋" w:hAnsi="仿宋" w:eastAsia="仿宋" w:cs="仿宋"/>
                <w:sz w:val="18"/>
                <w:szCs w:val="18"/>
              </w:rPr>
              <w:t>医院业务系统与医疗电子票据管理系统进行对接，通过接口将医院门诊收费信息发送给医疗电子票据前统，进行门诊收费电子票据开具。</w:t>
            </w:r>
          </w:p>
        </w:tc>
      </w:tr>
      <w:tr>
        <w:tblPrEx>
          <w:tblCellMar>
            <w:top w:w="0" w:type="dxa"/>
            <w:left w:w="108" w:type="dxa"/>
            <w:bottom w:w="0" w:type="dxa"/>
            <w:right w:w="108" w:type="dxa"/>
          </w:tblCellMar>
        </w:tblPrEx>
        <w:trPr>
          <w:trHeight w:val="20" w:hRule="atLeas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18"/>
                <w:szCs w:val="18"/>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住院票据开具</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ascii="仿宋" w:hAnsi="仿宋" w:eastAsia="仿宋" w:cs="仿宋"/>
                <w:sz w:val="18"/>
                <w:szCs w:val="18"/>
              </w:rPr>
            </w:pPr>
            <w:r>
              <w:rPr>
                <w:rFonts w:hint="eastAsia" w:ascii="仿宋" w:hAnsi="仿宋" w:eastAsia="仿宋" w:cs="仿宋"/>
                <w:sz w:val="18"/>
                <w:szCs w:val="18"/>
              </w:rPr>
              <w:t>医院业务系统与医疗电子票据管理系统进行对接，通过接口将医院住院收费信息发送给医疗电子票据系统，进行住院收费电子票据开具。</w:t>
            </w:r>
          </w:p>
        </w:tc>
      </w:tr>
      <w:tr>
        <w:tblPrEx>
          <w:tblCellMar>
            <w:top w:w="0" w:type="dxa"/>
            <w:left w:w="108" w:type="dxa"/>
            <w:bottom w:w="0" w:type="dxa"/>
            <w:right w:w="108" w:type="dxa"/>
          </w:tblCellMar>
        </w:tblPrEx>
        <w:trPr>
          <w:trHeight w:val="20" w:hRule="atLeas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18"/>
                <w:szCs w:val="18"/>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其他财政票据开具</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单位财务人员登录系统开具其他财政电子票据，支持非税电子一般缴款书、往来、捐赠票据。</w:t>
            </w:r>
          </w:p>
        </w:tc>
      </w:tr>
      <w:tr>
        <w:tblPrEx>
          <w:tblCellMar>
            <w:top w:w="0" w:type="dxa"/>
            <w:left w:w="108" w:type="dxa"/>
            <w:bottom w:w="0" w:type="dxa"/>
            <w:right w:w="108" w:type="dxa"/>
          </w:tblCellMar>
        </w:tblPrEx>
        <w:trPr>
          <w:trHeight w:val="20" w:hRule="atLeas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18"/>
                <w:szCs w:val="18"/>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票据冲红</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ascii="仿宋" w:hAnsi="仿宋" w:eastAsia="仿宋" w:cs="仿宋"/>
                <w:kern w:val="0"/>
                <w:sz w:val="18"/>
                <w:szCs w:val="18"/>
              </w:rPr>
            </w:pPr>
            <w:r>
              <w:rPr>
                <w:rFonts w:hint="eastAsia" w:ascii="仿宋" w:hAnsi="仿宋" w:eastAsia="仿宋" w:cs="仿宋"/>
                <w:kern w:val="0"/>
                <w:sz w:val="18"/>
                <w:szCs w:val="18"/>
              </w:rPr>
              <w:t>医院业务系统与医疗电子票据管理系统进行对接，通过接口将医院冲红信息发送给医疗电子票据管理系统，对相关电子票据进行冲红</w:t>
            </w:r>
          </w:p>
        </w:tc>
      </w:tr>
      <w:tr>
        <w:tblPrEx>
          <w:tblCellMar>
            <w:top w:w="0" w:type="dxa"/>
            <w:left w:w="108" w:type="dxa"/>
            <w:bottom w:w="0" w:type="dxa"/>
            <w:right w:w="108" w:type="dxa"/>
          </w:tblCellMar>
        </w:tblPrEx>
        <w:trPr>
          <w:trHeight w:val="20" w:hRule="atLeas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18"/>
                <w:szCs w:val="18"/>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接口开票</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医院发生收费结算业务时，由医院业务系统（HIS） 调用医疗电子票据管理系统接口开具电子票据，支持单笔与批量开票。</w:t>
            </w:r>
          </w:p>
        </w:tc>
      </w:tr>
      <w:tr>
        <w:tblPrEx>
          <w:tblCellMar>
            <w:top w:w="0" w:type="dxa"/>
            <w:left w:w="108" w:type="dxa"/>
            <w:bottom w:w="0" w:type="dxa"/>
            <w:right w:w="108" w:type="dxa"/>
          </w:tblCellMar>
        </w:tblPrEx>
        <w:trPr>
          <w:trHeight w:val="20" w:hRule="atLeas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18"/>
                <w:szCs w:val="18"/>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电子票据交付</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提供电子票据交付功能，可以进行批量打印A4，批量下载等功能，方便单位业务人员进行操作。</w:t>
            </w:r>
          </w:p>
        </w:tc>
      </w:tr>
      <w:tr>
        <w:tblPrEx>
          <w:tblCellMar>
            <w:top w:w="0" w:type="dxa"/>
            <w:left w:w="108" w:type="dxa"/>
            <w:bottom w:w="0" w:type="dxa"/>
            <w:right w:w="108" w:type="dxa"/>
          </w:tblCellMar>
        </w:tblPrEx>
        <w:trPr>
          <w:trHeight w:val="20"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ascii="仿宋" w:hAnsi="仿宋" w:eastAsia="仿宋" w:cs="仿宋"/>
                <w:kern w:val="0"/>
                <w:sz w:val="18"/>
                <w:szCs w:val="18"/>
              </w:rPr>
              <w:t>4</w:t>
            </w:r>
          </w:p>
        </w:tc>
        <w:tc>
          <w:tcPr>
            <w:tcW w:w="12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票据入账、归档</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ascii="仿宋" w:hAnsi="仿宋" w:eastAsia="仿宋" w:cs="仿宋"/>
                <w:sz w:val="18"/>
                <w:szCs w:val="18"/>
              </w:rPr>
            </w:pPr>
            <w:r>
              <w:rPr>
                <w:rFonts w:hint="eastAsia" w:ascii="仿宋" w:hAnsi="仿宋" w:eastAsia="仿宋" w:cs="仿宋"/>
                <w:sz w:val="18"/>
                <w:szCs w:val="18"/>
              </w:rPr>
              <w:t>电子票据接收</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ascii="仿宋" w:hAnsi="仿宋" w:eastAsia="仿宋" w:cs="仿宋"/>
                <w:kern w:val="0"/>
                <w:sz w:val="18"/>
                <w:szCs w:val="18"/>
              </w:rPr>
            </w:pPr>
            <w:r>
              <w:rPr>
                <w:rFonts w:hint="eastAsia" w:ascii="仿宋" w:hAnsi="仿宋" w:eastAsia="仿宋" w:cs="仿宋"/>
                <w:kern w:val="0"/>
                <w:sz w:val="18"/>
                <w:szCs w:val="18"/>
              </w:rPr>
              <w:t>单位通过此功能接收待入帐电子票据</w:t>
            </w:r>
          </w:p>
        </w:tc>
      </w:tr>
      <w:tr>
        <w:tblPrEx>
          <w:tblCellMar>
            <w:top w:w="0" w:type="dxa"/>
            <w:left w:w="108" w:type="dxa"/>
            <w:bottom w:w="0" w:type="dxa"/>
            <w:right w:w="108" w:type="dxa"/>
          </w:tblCellMar>
        </w:tblPrEx>
        <w:trPr>
          <w:trHeight w:val="20"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p>
        </w:tc>
        <w:tc>
          <w:tcPr>
            <w:tcW w:w="12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ascii="仿宋" w:hAnsi="仿宋" w:eastAsia="仿宋" w:cs="仿宋"/>
                <w:sz w:val="18"/>
                <w:szCs w:val="18"/>
              </w:rPr>
            </w:pPr>
            <w:r>
              <w:rPr>
                <w:rFonts w:hint="eastAsia" w:ascii="仿宋" w:hAnsi="仿宋" w:eastAsia="仿宋" w:cs="仿宋"/>
                <w:sz w:val="18"/>
                <w:szCs w:val="18"/>
              </w:rPr>
              <w:t>票据记账登记</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ascii="仿宋" w:hAnsi="仿宋" w:eastAsia="仿宋" w:cs="仿宋"/>
                <w:kern w:val="0"/>
                <w:sz w:val="18"/>
                <w:szCs w:val="18"/>
              </w:rPr>
            </w:pPr>
            <w:r>
              <w:rPr>
                <w:rFonts w:hint="eastAsia" w:ascii="仿宋" w:hAnsi="仿宋" w:eastAsia="仿宋" w:cs="仿宋"/>
                <w:kern w:val="0"/>
                <w:sz w:val="18"/>
                <w:szCs w:val="18"/>
              </w:rPr>
              <w:t>单位通过此功能对待入账票据进行单笔入账</w:t>
            </w:r>
          </w:p>
        </w:tc>
      </w:tr>
      <w:tr>
        <w:tblPrEx>
          <w:tblCellMar>
            <w:top w:w="0" w:type="dxa"/>
            <w:left w:w="108" w:type="dxa"/>
            <w:bottom w:w="0" w:type="dxa"/>
            <w:right w:w="108" w:type="dxa"/>
          </w:tblCellMar>
        </w:tblPrEx>
        <w:trPr>
          <w:trHeight w:val="20"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p>
        </w:tc>
        <w:tc>
          <w:tcPr>
            <w:tcW w:w="12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ascii="仿宋" w:hAnsi="仿宋" w:eastAsia="仿宋" w:cs="仿宋"/>
                <w:kern w:val="0"/>
                <w:sz w:val="18"/>
                <w:szCs w:val="18"/>
              </w:rPr>
            </w:pPr>
            <w:r>
              <w:rPr>
                <w:rFonts w:hint="eastAsia" w:ascii="仿宋" w:hAnsi="仿宋" w:eastAsia="仿宋" w:cs="仿宋"/>
                <w:kern w:val="0"/>
                <w:sz w:val="18"/>
                <w:szCs w:val="18"/>
              </w:rPr>
              <w:t>汇总记账登记</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ascii="仿宋" w:hAnsi="仿宋" w:eastAsia="仿宋" w:cs="仿宋"/>
                <w:kern w:val="0"/>
                <w:sz w:val="18"/>
                <w:szCs w:val="18"/>
              </w:rPr>
            </w:pPr>
            <w:r>
              <w:rPr>
                <w:rFonts w:hint="eastAsia" w:ascii="仿宋" w:hAnsi="仿宋" w:eastAsia="仿宋" w:cs="仿宋"/>
                <w:kern w:val="0"/>
                <w:sz w:val="18"/>
                <w:szCs w:val="18"/>
              </w:rPr>
              <w:t>单位通过此功能对待入账票据进行汇总入账</w:t>
            </w:r>
          </w:p>
        </w:tc>
      </w:tr>
      <w:tr>
        <w:tblPrEx>
          <w:tblCellMar>
            <w:top w:w="0" w:type="dxa"/>
            <w:left w:w="108" w:type="dxa"/>
            <w:bottom w:w="0" w:type="dxa"/>
            <w:right w:w="108" w:type="dxa"/>
          </w:tblCellMar>
        </w:tblPrEx>
        <w:trPr>
          <w:trHeight w:val="20"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p>
        </w:tc>
        <w:tc>
          <w:tcPr>
            <w:tcW w:w="12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ascii="仿宋" w:hAnsi="仿宋" w:eastAsia="仿宋" w:cs="仿宋"/>
                <w:kern w:val="0"/>
                <w:sz w:val="18"/>
                <w:szCs w:val="18"/>
              </w:rPr>
            </w:pPr>
            <w:r>
              <w:rPr>
                <w:rFonts w:hint="eastAsia" w:ascii="仿宋" w:hAnsi="仿宋" w:eastAsia="仿宋" w:cs="仿宋"/>
                <w:kern w:val="0"/>
                <w:sz w:val="18"/>
                <w:szCs w:val="18"/>
              </w:rPr>
              <w:t>档案维护</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ascii="仿宋" w:hAnsi="仿宋" w:eastAsia="仿宋" w:cs="仿宋"/>
                <w:kern w:val="0"/>
                <w:sz w:val="18"/>
                <w:szCs w:val="18"/>
              </w:rPr>
            </w:pPr>
            <w:r>
              <w:rPr>
                <w:rFonts w:hint="eastAsia" w:ascii="仿宋" w:hAnsi="仿宋" w:eastAsia="仿宋" w:cs="仿宋"/>
                <w:kern w:val="0"/>
                <w:sz w:val="18"/>
                <w:szCs w:val="18"/>
              </w:rPr>
              <w:t>单位通过此功能维护档案信息</w:t>
            </w:r>
          </w:p>
        </w:tc>
      </w:tr>
      <w:tr>
        <w:tblPrEx>
          <w:tblCellMar>
            <w:top w:w="0" w:type="dxa"/>
            <w:left w:w="108" w:type="dxa"/>
            <w:bottom w:w="0" w:type="dxa"/>
            <w:right w:w="108" w:type="dxa"/>
          </w:tblCellMar>
        </w:tblPrEx>
        <w:trPr>
          <w:trHeight w:val="20"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p>
        </w:tc>
        <w:tc>
          <w:tcPr>
            <w:tcW w:w="12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ascii="仿宋" w:hAnsi="仿宋" w:eastAsia="仿宋" w:cs="仿宋"/>
                <w:kern w:val="0"/>
                <w:sz w:val="18"/>
                <w:szCs w:val="18"/>
              </w:rPr>
            </w:pPr>
            <w:r>
              <w:rPr>
                <w:rFonts w:hint="eastAsia" w:ascii="仿宋" w:hAnsi="仿宋" w:eastAsia="仿宋" w:cs="仿宋"/>
                <w:kern w:val="0"/>
                <w:sz w:val="18"/>
                <w:szCs w:val="18"/>
              </w:rPr>
              <w:t>分类管理</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ascii="仿宋" w:hAnsi="仿宋" w:eastAsia="仿宋" w:cs="仿宋"/>
                <w:kern w:val="0"/>
                <w:sz w:val="18"/>
                <w:szCs w:val="18"/>
              </w:rPr>
            </w:pPr>
            <w:r>
              <w:rPr>
                <w:rFonts w:hint="eastAsia" w:ascii="仿宋" w:hAnsi="仿宋" w:eastAsia="仿宋" w:cs="仿宋"/>
                <w:kern w:val="0"/>
                <w:sz w:val="18"/>
                <w:szCs w:val="18"/>
              </w:rPr>
              <w:t>单位通过此功能管理档案的分类</w:t>
            </w:r>
          </w:p>
        </w:tc>
      </w:tr>
      <w:tr>
        <w:tblPrEx>
          <w:tblCellMar>
            <w:top w:w="0" w:type="dxa"/>
            <w:left w:w="108" w:type="dxa"/>
            <w:bottom w:w="0" w:type="dxa"/>
            <w:right w:w="108" w:type="dxa"/>
          </w:tblCellMar>
        </w:tblPrEx>
        <w:trPr>
          <w:trHeight w:val="20"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p>
        </w:tc>
        <w:tc>
          <w:tcPr>
            <w:tcW w:w="12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ascii="仿宋" w:hAnsi="仿宋" w:eastAsia="仿宋" w:cs="仿宋"/>
                <w:kern w:val="0"/>
                <w:sz w:val="18"/>
                <w:szCs w:val="18"/>
              </w:rPr>
            </w:pPr>
            <w:r>
              <w:rPr>
                <w:rFonts w:hint="eastAsia" w:ascii="仿宋" w:hAnsi="仿宋" w:eastAsia="仿宋" w:cs="仿宋"/>
                <w:kern w:val="0"/>
                <w:sz w:val="18"/>
                <w:szCs w:val="18"/>
              </w:rPr>
              <w:t>归档</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ascii="仿宋" w:hAnsi="仿宋" w:eastAsia="仿宋" w:cs="仿宋"/>
                <w:kern w:val="0"/>
                <w:sz w:val="18"/>
                <w:szCs w:val="18"/>
              </w:rPr>
            </w:pPr>
            <w:r>
              <w:rPr>
                <w:rFonts w:hint="eastAsia" w:ascii="仿宋" w:hAnsi="仿宋" w:eastAsia="仿宋" w:cs="仿宋"/>
                <w:kern w:val="0"/>
                <w:sz w:val="18"/>
                <w:szCs w:val="18"/>
              </w:rPr>
              <w:t>单位通过此功能对已入账的票据进行手工归档</w:t>
            </w:r>
          </w:p>
        </w:tc>
      </w:tr>
      <w:tr>
        <w:tblPrEx>
          <w:tblCellMar>
            <w:top w:w="0" w:type="dxa"/>
            <w:left w:w="108" w:type="dxa"/>
            <w:bottom w:w="0" w:type="dxa"/>
            <w:right w:w="108" w:type="dxa"/>
          </w:tblCellMar>
        </w:tblPrEx>
        <w:trPr>
          <w:trHeight w:val="20"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p>
        </w:tc>
        <w:tc>
          <w:tcPr>
            <w:tcW w:w="12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ascii="仿宋" w:hAnsi="仿宋" w:eastAsia="仿宋" w:cs="仿宋"/>
                <w:kern w:val="0"/>
                <w:sz w:val="18"/>
                <w:szCs w:val="18"/>
              </w:rPr>
            </w:pPr>
            <w:r>
              <w:rPr>
                <w:rFonts w:hint="eastAsia" w:ascii="仿宋" w:hAnsi="仿宋" w:eastAsia="仿宋" w:cs="仿宋"/>
                <w:kern w:val="0"/>
                <w:sz w:val="18"/>
                <w:szCs w:val="18"/>
              </w:rPr>
              <w:t>档案查询</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ascii="仿宋" w:hAnsi="仿宋" w:eastAsia="仿宋" w:cs="仿宋"/>
                <w:sz w:val="18"/>
                <w:szCs w:val="18"/>
              </w:rPr>
            </w:pPr>
            <w:r>
              <w:rPr>
                <w:rFonts w:hint="eastAsia" w:ascii="仿宋" w:hAnsi="仿宋" w:eastAsia="仿宋" w:cs="仿宋"/>
                <w:kern w:val="0"/>
                <w:sz w:val="18"/>
                <w:szCs w:val="18"/>
              </w:rPr>
              <w:t>单位通过此功能查询已归档票据的详细信息。</w:t>
            </w:r>
          </w:p>
        </w:tc>
      </w:tr>
      <w:tr>
        <w:tblPrEx>
          <w:tblCellMar>
            <w:top w:w="0" w:type="dxa"/>
            <w:left w:w="108" w:type="dxa"/>
            <w:bottom w:w="0" w:type="dxa"/>
            <w:right w:w="108" w:type="dxa"/>
          </w:tblCellMar>
        </w:tblPrEx>
        <w:trPr>
          <w:trHeight w:val="20"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ascii="仿宋" w:hAnsi="仿宋" w:eastAsia="仿宋" w:cs="仿宋"/>
                <w:kern w:val="0"/>
                <w:sz w:val="18"/>
                <w:szCs w:val="18"/>
              </w:rPr>
              <w:t>5</w:t>
            </w:r>
          </w:p>
        </w:tc>
        <w:tc>
          <w:tcPr>
            <w:tcW w:w="12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统计报表</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库存结余表</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ascii="仿宋" w:hAnsi="仿宋" w:eastAsia="仿宋" w:cs="仿宋"/>
                <w:kern w:val="0"/>
                <w:sz w:val="18"/>
                <w:szCs w:val="18"/>
              </w:rPr>
            </w:pPr>
            <w:r>
              <w:rPr>
                <w:rFonts w:hint="eastAsia" w:ascii="仿宋" w:hAnsi="仿宋" w:eastAsia="仿宋" w:cs="仿宋"/>
                <w:kern w:val="0"/>
                <w:sz w:val="18"/>
                <w:szCs w:val="18"/>
              </w:rPr>
              <w:t>对票据领用及使用情况做分析，统计已使用、未使用票据情况，算出单位现有票据的库存结余。</w:t>
            </w:r>
          </w:p>
        </w:tc>
      </w:tr>
      <w:tr>
        <w:tblPrEx>
          <w:tblCellMar>
            <w:top w:w="0" w:type="dxa"/>
            <w:left w:w="108" w:type="dxa"/>
            <w:bottom w:w="0" w:type="dxa"/>
            <w:right w:w="108" w:type="dxa"/>
          </w:tblCellMar>
        </w:tblPrEx>
        <w:trPr>
          <w:trHeight w:val="20" w:hRule="atLeas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18"/>
                <w:szCs w:val="18"/>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票据领用情况查询</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ascii="仿宋" w:hAnsi="仿宋" w:eastAsia="仿宋" w:cs="仿宋"/>
                <w:sz w:val="18"/>
                <w:szCs w:val="18"/>
              </w:rPr>
            </w:pPr>
            <w:r>
              <w:rPr>
                <w:rFonts w:hint="eastAsia" w:ascii="仿宋" w:hAnsi="仿宋" w:eastAsia="仿宋" w:cs="仿宋"/>
                <w:kern w:val="0"/>
                <w:sz w:val="18"/>
                <w:szCs w:val="18"/>
              </w:rPr>
              <w:t>查看单位票据领用情况。</w:t>
            </w:r>
          </w:p>
        </w:tc>
      </w:tr>
      <w:tr>
        <w:tblPrEx>
          <w:tblCellMar>
            <w:top w:w="0" w:type="dxa"/>
            <w:left w:w="108" w:type="dxa"/>
            <w:bottom w:w="0" w:type="dxa"/>
            <w:right w:w="108" w:type="dxa"/>
          </w:tblCellMar>
        </w:tblPrEx>
        <w:trPr>
          <w:trHeight w:val="20" w:hRule="atLeas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18"/>
                <w:szCs w:val="18"/>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开票明细查询</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ascii="仿宋" w:hAnsi="仿宋" w:eastAsia="仿宋" w:cs="仿宋"/>
                <w:kern w:val="0"/>
                <w:sz w:val="18"/>
                <w:szCs w:val="18"/>
              </w:rPr>
            </w:pPr>
            <w:r>
              <w:rPr>
                <w:rFonts w:hint="eastAsia" w:ascii="仿宋" w:hAnsi="仿宋" w:eastAsia="仿宋" w:cs="仿宋"/>
                <w:kern w:val="0"/>
                <w:sz w:val="18"/>
                <w:szCs w:val="18"/>
              </w:rPr>
              <w:t>通过列表展示单位开具的开票数据，查看开票数据的详细信息，包括票据基本信息、所开具的项目等</w:t>
            </w:r>
          </w:p>
        </w:tc>
      </w:tr>
      <w:tr>
        <w:tblPrEx>
          <w:tblCellMar>
            <w:top w:w="0" w:type="dxa"/>
            <w:left w:w="108" w:type="dxa"/>
            <w:bottom w:w="0" w:type="dxa"/>
            <w:right w:w="108" w:type="dxa"/>
          </w:tblCellMar>
        </w:tblPrEx>
        <w:trPr>
          <w:trHeight w:val="20" w:hRule="atLeas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18"/>
                <w:szCs w:val="18"/>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开票汇总查询</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ascii="仿宋" w:hAnsi="仿宋" w:eastAsia="仿宋" w:cs="仿宋"/>
                <w:kern w:val="0"/>
                <w:sz w:val="18"/>
                <w:szCs w:val="18"/>
              </w:rPr>
            </w:pPr>
            <w:r>
              <w:rPr>
                <w:rFonts w:hint="eastAsia" w:ascii="仿宋" w:hAnsi="仿宋" w:eastAsia="仿宋" w:cs="仿宋"/>
                <w:kern w:val="0"/>
                <w:sz w:val="18"/>
                <w:szCs w:val="18"/>
              </w:rPr>
              <w:t>汇总单位开票信息，包括开票信息和收费情况。</w:t>
            </w:r>
          </w:p>
          <w:p>
            <w:pPr>
              <w:spacing w:after="120"/>
              <w:rPr>
                <w:rFonts w:ascii="仿宋" w:hAnsi="仿宋" w:eastAsia="仿宋" w:cs="仿宋"/>
                <w:kern w:val="0"/>
                <w:sz w:val="18"/>
                <w:szCs w:val="18"/>
              </w:rPr>
            </w:pPr>
            <w:r>
              <w:rPr>
                <w:rFonts w:hint="eastAsia" w:ascii="仿宋" w:hAnsi="仿宋" w:eastAsia="仿宋" w:cs="仿宋"/>
                <w:kern w:val="0"/>
                <w:sz w:val="18"/>
                <w:szCs w:val="18"/>
              </w:rPr>
              <w:t>该报表按照收费员、业务类别统计汇总各票据种类收费情况（按照缴款渠道分别统计）和开票数量（开票份数和冲红份数）；</w:t>
            </w:r>
          </w:p>
        </w:tc>
      </w:tr>
      <w:tr>
        <w:tblPrEx>
          <w:tblCellMar>
            <w:top w:w="0" w:type="dxa"/>
            <w:left w:w="108" w:type="dxa"/>
            <w:bottom w:w="0" w:type="dxa"/>
            <w:right w:w="108" w:type="dxa"/>
          </w:tblCellMar>
        </w:tblPrEx>
        <w:trPr>
          <w:trHeight w:val="20"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ascii="仿宋" w:hAnsi="仿宋" w:eastAsia="仿宋" w:cs="仿宋"/>
                <w:kern w:val="0"/>
                <w:sz w:val="18"/>
                <w:szCs w:val="18"/>
              </w:rPr>
              <w:t>6</w:t>
            </w:r>
          </w:p>
        </w:tc>
        <w:tc>
          <w:tcPr>
            <w:tcW w:w="12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系统管理</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用户管理</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ascii="仿宋" w:hAnsi="仿宋" w:eastAsia="仿宋" w:cs="仿宋"/>
                <w:kern w:val="0"/>
                <w:sz w:val="18"/>
                <w:szCs w:val="18"/>
              </w:rPr>
            </w:pPr>
            <w:r>
              <w:rPr>
                <w:rFonts w:hint="eastAsia" w:ascii="仿宋" w:hAnsi="仿宋" w:eastAsia="仿宋" w:cs="仿宋"/>
                <w:kern w:val="0"/>
                <w:sz w:val="18"/>
                <w:szCs w:val="18"/>
              </w:rPr>
              <w:t>医疗单位可根据单位实际业务情况，创建本单位的用户信息，对单位及单位下的开票点用户进行新增、修改等操作。</w:t>
            </w:r>
          </w:p>
        </w:tc>
      </w:tr>
      <w:tr>
        <w:tblPrEx>
          <w:tblCellMar>
            <w:top w:w="0" w:type="dxa"/>
            <w:left w:w="108" w:type="dxa"/>
            <w:bottom w:w="0" w:type="dxa"/>
            <w:right w:w="108" w:type="dxa"/>
          </w:tblCellMar>
        </w:tblPrEx>
        <w:trPr>
          <w:trHeight w:val="20" w:hRule="atLeas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18"/>
                <w:szCs w:val="18"/>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角色管理</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kern w:val="0"/>
                <w:sz w:val="18"/>
                <w:szCs w:val="18"/>
              </w:rPr>
            </w:pPr>
            <w:r>
              <w:rPr>
                <w:rFonts w:hint="eastAsia" w:ascii="仿宋" w:hAnsi="仿宋" w:eastAsia="仿宋" w:cs="仿宋"/>
                <w:kern w:val="0"/>
                <w:sz w:val="18"/>
                <w:szCs w:val="18"/>
              </w:rPr>
              <w:t>为满足医疗机构实际业务中，多岗位多角色办理的情况，可在角色管理中按照不同的功能菜单分别创建对应的办理角色，且可对已创建的角色的进行功能授权。</w:t>
            </w:r>
          </w:p>
        </w:tc>
      </w:tr>
      <w:tr>
        <w:tblPrEx>
          <w:tblCellMar>
            <w:top w:w="0" w:type="dxa"/>
            <w:left w:w="108" w:type="dxa"/>
            <w:bottom w:w="0" w:type="dxa"/>
            <w:right w:w="108" w:type="dxa"/>
          </w:tblCellMar>
        </w:tblPrEx>
        <w:trPr>
          <w:trHeight w:val="20" w:hRule="atLeas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18"/>
                <w:szCs w:val="18"/>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菜单管理</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按照用户、角色、机构的不同，可根据单位的实际需求进行授权设置对应的菜单权限。</w:t>
            </w:r>
          </w:p>
        </w:tc>
      </w:tr>
      <w:tr>
        <w:tblPrEx>
          <w:tblCellMar>
            <w:top w:w="0" w:type="dxa"/>
            <w:left w:w="108" w:type="dxa"/>
            <w:bottom w:w="0" w:type="dxa"/>
            <w:right w:w="108" w:type="dxa"/>
          </w:tblCellMar>
        </w:tblPrEx>
        <w:trPr>
          <w:trHeight w:val="20"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ascii="仿宋" w:hAnsi="仿宋" w:eastAsia="仿宋" w:cs="仿宋"/>
                <w:kern w:val="0"/>
                <w:sz w:val="18"/>
                <w:szCs w:val="18"/>
              </w:rPr>
              <w:t>7</w:t>
            </w:r>
          </w:p>
        </w:tc>
        <w:tc>
          <w:tcPr>
            <w:tcW w:w="12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电子票据交付</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kern w:val="0"/>
                <w:sz w:val="18"/>
                <w:szCs w:val="18"/>
              </w:rPr>
            </w:pPr>
            <w:r>
              <w:rPr>
                <w:rFonts w:hint="eastAsia" w:ascii="仿宋" w:hAnsi="仿宋" w:eastAsia="仿宋" w:cs="仿宋"/>
                <w:kern w:val="0"/>
                <w:sz w:val="18"/>
                <w:szCs w:val="18"/>
              </w:rPr>
              <w:t>小程序通知交付</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kern w:val="0"/>
                <w:sz w:val="18"/>
                <w:szCs w:val="18"/>
              </w:rPr>
            </w:pPr>
            <w:r>
              <w:rPr>
                <w:rFonts w:hint="eastAsia" w:ascii="仿宋" w:hAnsi="仿宋" w:eastAsia="仿宋" w:cs="仿宋"/>
                <w:kern w:val="0"/>
                <w:sz w:val="18"/>
                <w:szCs w:val="18"/>
              </w:rPr>
              <w:t>窗口工作人员可打印告知单将电子票据基本信息交给患者，患者可扫描二维码进行查看电子票据。</w:t>
            </w:r>
          </w:p>
        </w:tc>
      </w:tr>
      <w:tr>
        <w:tblPrEx>
          <w:tblCellMar>
            <w:top w:w="0" w:type="dxa"/>
            <w:left w:w="108" w:type="dxa"/>
            <w:bottom w:w="0" w:type="dxa"/>
            <w:right w:w="108" w:type="dxa"/>
          </w:tblCellMar>
        </w:tblPrEx>
        <w:trPr>
          <w:trHeight w:val="20" w:hRule="atLeas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18"/>
                <w:szCs w:val="18"/>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kern w:val="0"/>
                <w:sz w:val="18"/>
                <w:szCs w:val="18"/>
              </w:rPr>
            </w:pPr>
            <w:r>
              <w:rPr>
                <w:rFonts w:hint="eastAsia" w:ascii="仿宋" w:hAnsi="仿宋" w:eastAsia="仿宋" w:cs="仿宋"/>
                <w:kern w:val="0"/>
                <w:sz w:val="18"/>
                <w:szCs w:val="18"/>
              </w:rPr>
              <w:t>公众号/生活号 通知</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kern w:val="0"/>
                <w:sz w:val="18"/>
                <w:szCs w:val="18"/>
              </w:rPr>
            </w:pPr>
            <w:r>
              <w:rPr>
                <w:rFonts w:hint="eastAsia" w:ascii="仿宋" w:hAnsi="仿宋" w:eastAsia="仿宋" w:cs="仿宋"/>
                <w:kern w:val="0"/>
                <w:sz w:val="18"/>
                <w:szCs w:val="18"/>
              </w:rPr>
              <w:t>患者需关注医疗机构公众号、生活号，医疗电子票据管理平台开具电子票据成功后推送信息给HIS系统， HIS 系统向公众号、生活号推送电子票据信息。患者可通过医院公众号、生活号，查看电子票据信息。</w:t>
            </w:r>
          </w:p>
        </w:tc>
      </w:tr>
      <w:tr>
        <w:tblPrEx>
          <w:tblCellMar>
            <w:top w:w="0" w:type="dxa"/>
            <w:left w:w="108" w:type="dxa"/>
            <w:bottom w:w="0" w:type="dxa"/>
            <w:right w:w="108" w:type="dxa"/>
          </w:tblCellMar>
        </w:tblPrEx>
        <w:trPr>
          <w:trHeight w:val="20" w:hRule="atLeas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18"/>
                <w:szCs w:val="18"/>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kern w:val="0"/>
                <w:sz w:val="18"/>
                <w:szCs w:val="18"/>
              </w:rPr>
            </w:pPr>
            <w:r>
              <w:rPr>
                <w:rFonts w:hint="eastAsia" w:ascii="仿宋" w:hAnsi="仿宋" w:eastAsia="仿宋" w:cs="仿宋"/>
                <w:kern w:val="0"/>
                <w:sz w:val="18"/>
                <w:szCs w:val="18"/>
              </w:rPr>
              <w:t>医院专用 APP</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kern w:val="0"/>
                <w:sz w:val="18"/>
                <w:szCs w:val="18"/>
              </w:rPr>
            </w:pPr>
            <w:r>
              <w:rPr>
                <w:rFonts w:hint="eastAsia" w:ascii="仿宋" w:hAnsi="仿宋" w:eastAsia="仿宋" w:cs="仿宋"/>
                <w:kern w:val="0"/>
                <w:sz w:val="18"/>
                <w:szCs w:val="18"/>
              </w:rPr>
              <w:t>医疗电子票据管理系统开具电子票据成功，推送信息给HIS系统，HIS 系统向医疗机构专用 APP 推送电子票据信息。患者可通过医院专用 APP，可在智慧账单和住院清单菜单中完成电子票据的查看、下载。</w:t>
            </w:r>
          </w:p>
        </w:tc>
      </w:tr>
      <w:tr>
        <w:tblPrEx>
          <w:tblCellMar>
            <w:top w:w="0" w:type="dxa"/>
            <w:left w:w="108" w:type="dxa"/>
            <w:bottom w:w="0" w:type="dxa"/>
            <w:right w:w="108" w:type="dxa"/>
          </w:tblCellMar>
        </w:tblPrEx>
        <w:trPr>
          <w:trHeight w:val="20" w:hRule="atLeas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kern w:val="0"/>
                <w:sz w:val="18"/>
                <w:szCs w:val="18"/>
              </w:rPr>
            </w:pPr>
            <w:r>
              <w:rPr>
                <w:rFonts w:hint="eastAsia" w:ascii="仿宋" w:hAnsi="仿宋" w:eastAsia="仿宋" w:cs="仿宋"/>
                <w:kern w:val="0"/>
                <w:sz w:val="18"/>
                <w:szCs w:val="18"/>
              </w:rPr>
              <w:t>自助机</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kern w:val="0"/>
                <w:sz w:val="18"/>
                <w:szCs w:val="18"/>
              </w:rPr>
            </w:pPr>
            <w:r>
              <w:rPr>
                <w:rFonts w:hint="eastAsia" w:ascii="仿宋" w:hAnsi="仿宋" w:eastAsia="仿宋" w:cs="仿宋"/>
                <w:kern w:val="0"/>
                <w:sz w:val="18"/>
                <w:szCs w:val="18"/>
              </w:rPr>
              <w:t>患者通过医院自助机进行缴费，缴费成功后，可在自助机上获取缴费票据信息。</w:t>
            </w:r>
          </w:p>
          <w:p>
            <w:pPr>
              <w:widowControl/>
              <w:rPr>
                <w:rFonts w:ascii="仿宋" w:hAnsi="仿宋" w:eastAsia="仿宋" w:cs="仿宋"/>
                <w:kern w:val="0"/>
                <w:sz w:val="18"/>
                <w:szCs w:val="18"/>
              </w:rPr>
            </w:pPr>
            <w:r>
              <w:rPr>
                <w:rFonts w:hint="eastAsia" w:ascii="仿宋" w:hAnsi="仿宋" w:eastAsia="仿宋" w:cs="仿宋"/>
                <w:kern w:val="0"/>
                <w:sz w:val="18"/>
                <w:szCs w:val="18"/>
              </w:rPr>
              <w:t>自助机系统提供“获取票据”功能，支持票据查看和打印给缴款人</w:t>
            </w:r>
          </w:p>
        </w:tc>
      </w:tr>
      <w:tr>
        <w:tblPrEx>
          <w:tblCellMar>
            <w:top w:w="0" w:type="dxa"/>
            <w:left w:w="108" w:type="dxa"/>
            <w:bottom w:w="0" w:type="dxa"/>
            <w:right w:w="108" w:type="dxa"/>
          </w:tblCellMar>
        </w:tblPrEx>
        <w:trPr>
          <w:trHeight w:val="20"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ascii="仿宋" w:hAnsi="仿宋" w:eastAsia="仿宋" w:cs="仿宋"/>
                <w:kern w:val="0"/>
                <w:sz w:val="18"/>
                <w:szCs w:val="18"/>
              </w:rPr>
              <w:t>8</w:t>
            </w:r>
          </w:p>
        </w:tc>
        <w:tc>
          <w:tcPr>
            <w:tcW w:w="12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财政端对接</w:t>
            </w:r>
          </w:p>
        </w:tc>
        <w:tc>
          <w:tcPr>
            <w:tcW w:w="63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ascii="仿宋" w:hAnsi="仿宋" w:eastAsia="仿宋" w:cs="仿宋"/>
                <w:kern w:val="0"/>
                <w:sz w:val="18"/>
                <w:szCs w:val="18"/>
              </w:rPr>
            </w:pPr>
            <w:r>
              <w:rPr>
                <w:rFonts w:hint="eastAsia" w:ascii="仿宋" w:hAnsi="仿宋" w:eastAsia="仿宋" w:cs="仿宋"/>
                <w:kern w:val="0"/>
                <w:sz w:val="18"/>
                <w:szCs w:val="18"/>
              </w:rPr>
              <w:t>与财政电子票据管理中台对接，完成基础数据同步、电子票据的申领、票据开具、冲红、验签、票据下载、查询、入账反馈等功能服务。</w:t>
            </w:r>
          </w:p>
        </w:tc>
      </w:tr>
      <w:tr>
        <w:tblPrEx>
          <w:tblCellMar>
            <w:top w:w="0" w:type="dxa"/>
            <w:left w:w="108" w:type="dxa"/>
            <w:bottom w:w="0" w:type="dxa"/>
            <w:right w:w="108" w:type="dxa"/>
          </w:tblCellMar>
        </w:tblPrEx>
        <w:trPr>
          <w:trHeight w:val="20"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ascii="仿宋" w:hAnsi="仿宋" w:eastAsia="仿宋" w:cs="仿宋"/>
                <w:kern w:val="0"/>
                <w:sz w:val="18"/>
                <w:szCs w:val="18"/>
              </w:rPr>
              <w:t>9</w:t>
            </w:r>
          </w:p>
        </w:tc>
        <w:tc>
          <w:tcPr>
            <w:tcW w:w="12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业务系统接口对接</w:t>
            </w:r>
          </w:p>
        </w:tc>
        <w:tc>
          <w:tcPr>
            <w:tcW w:w="63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120"/>
              <w:rPr>
                <w:rFonts w:ascii="仿宋" w:hAnsi="仿宋" w:eastAsia="仿宋" w:cs="仿宋"/>
                <w:kern w:val="0"/>
                <w:sz w:val="18"/>
                <w:szCs w:val="18"/>
              </w:rPr>
            </w:pPr>
            <w:r>
              <w:rPr>
                <w:rFonts w:hint="eastAsia" w:ascii="仿宋" w:hAnsi="仿宋" w:eastAsia="仿宋" w:cs="仿宋"/>
                <w:kern w:val="0"/>
                <w:sz w:val="18"/>
                <w:szCs w:val="18"/>
              </w:rPr>
              <w:t>医院HIS系统在现有基础上进行改造，待建设的主要内容为第三方接口调用，与医疗电子票据系统进行数据对接。</w:t>
            </w:r>
          </w:p>
          <w:p>
            <w:pPr>
              <w:rPr>
                <w:rFonts w:ascii="仿宋" w:hAnsi="仿宋" w:eastAsia="仿宋" w:cs="仿宋"/>
                <w:kern w:val="0"/>
                <w:sz w:val="18"/>
                <w:szCs w:val="18"/>
              </w:rPr>
            </w:pPr>
            <w:r>
              <w:rPr>
                <w:rFonts w:hint="eastAsia" w:ascii="仿宋" w:hAnsi="仿宋" w:eastAsia="仿宋" w:cs="仿宋"/>
                <w:kern w:val="0"/>
                <w:sz w:val="18"/>
                <w:szCs w:val="18"/>
              </w:rPr>
              <w:t>（一）门诊系统改造</w:t>
            </w:r>
          </w:p>
          <w:p>
            <w:pPr>
              <w:rPr>
                <w:rFonts w:ascii="仿宋" w:hAnsi="仿宋" w:eastAsia="仿宋" w:cs="仿宋"/>
                <w:kern w:val="0"/>
                <w:sz w:val="18"/>
                <w:szCs w:val="18"/>
              </w:rPr>
            </w:pPr>
            <w:r>
              <w:rPr>
                <w:rFonts w:hint="eastAsia" w:ascii="仿宋" w:hAnsi="仿宋" w:eastAsia="仿宋" w:cs="仿宋"/>
                <w:kern w:val="0"/>
                <w:sz w:val="18"/>
                <w:szCs w:val="18"/>
              </w:rPr>
              <w:t>（二）住院系统改造</w:t>
            </w:r>
          </w:p>
          <w:p>
            <w:pPr>
              <w:rPr>
                <w:rFonts w:ascii="仿宋" w:hAnsi="仿宋" w:eastAsia="仿宋" w:cs="仿宋"/>
                <w:kern w:val="0"/>
                <w:sz w:val="18"/>
                <w:szCs w:val="18"/>
              </w:rPr>
            </w:pPr>
            <w:r>
              <w:rPr>
                <w:rFonts w:hint="eastAsia" w:ascii="仿宋" w:hAnsi="仿宋" w:eastAsia="仿宋" w:cs="仿宋"/>
                <w:kern w:val="0"/>
                <w:sz w:val="18"/>
                <w:szCs w:val="18"/>
              </w:rPr>
              <w:t>（三）自助机改造</w:t>
            </w:r>
          </w:p>
          <w:p>
            <w:pPr>
              <w:rPr>
                <w:rFonts w:ascii="仿宋" w:hAnsi="仿宋" w:eastAsia="仿宋" w:cs="仿宋"/>
                <w:kern w:val="0"/>
                <w:sz w:val="18"/>
                <w:szCs w:val="18"/>
              </w:rPr>
            </w:pPr>
            <w:r>
              <w:rPr>
                <w:rFonts w:hint="eastAsia" w:ascii="仿宋" w:hAnsi="仿宋" w:eastAsia="仿宋" w:cs="仿宋"/>
                <w:kern w:val="0"/>
                <w:sz w:val="18"/>
                <w:szCs w:val="18"/>
              </w:rPr>
              <w:t>（四）公众号、服务号、APP改造</w:t>
            </w:r>
          </w:p>
          <w:p>
            <w:pPr>
              <w:pStyle w:val="15"/>
              <w:widowControl/>
              <w:numPr>
                <w:ilvl w:val="0"/>
                <w:numId w:val="1"/>
              </w:numPr>
              <w:adjustRightInd w:val="0"/>
              <w:snapToGrid w:val="0"/>
              <w:spacing w:after="200"/>
              <w:ind w:left="0" w:firstLine="0"/>
              <w:jc w:val="left"/>
              <w:rPr>
                <w:rFonts w:ascii="仿宋" w:hAnsi="仿宋" w:eastAsia="仿宋" w:cs="仿宋"/>
                <w:sz w:val="18"/>
                <w:szCs w:val="18"/>
              </w:rPr>
            </w:pPr>
            <w:r>
              <w:rPr>
                <w:rFonts w:hint="eastAsia" w:ascii="仿宋" w:hAnsi="仿宋" w:eastAsia="仿宋" w:cs="仿宋"/>
                <w:sz w:val="18"/>
                <w:szCs w:val="18"/>
              </w:rPr>
              <w:t>建议医院业务类操作在医院业务系统中实现，医院非税票据相关操作在医疗电子票据管理系统中实现。</w:t>
            </w:r>
          </w:p>
        </w:tc>
      </w:tr>
    </w:tbl>
    <w:p>
      <w:pPr>
        <w:rPr>
          <w:rFonts w:eastAsia="黑体"/>
          <w:b/>
          <w:kern w:val="44"/>
          <w:sz w:val="32"/>
        </w:rPr>
      </w:pPr>
      <w:r>
        <w:rPr>
          <w:rFonts w:hint="eastAsia" w:eastAsia="黑体"/>
          <w:b/>
          <w:kern w:val="44"/>
          <w:sz w:val="32"/>
        </w:rPr>
        <w:br w:type="page"/>
      </w:r>
    </w:p>
    <w:p>
      <w:pPr>
        <w:pStyle w:val="2"/>
        <w:ind w:left="0" w:leftChars="0" w:firstLine="0" w:firstLineChars="0"/>
        <w:rPr>
          <w:rFonts w:hint="eastAsia"/>
          <w:lang w:val="en-US" w:eastAsia="zh-CN"/>
        </w:rPr>
      </w:pPr>
    </w:p>
    <w:sectPr>
      <w:footerReference r:id="rId3" w:type="default"/>
      <w:pgSz w:w="11906" w:h="16838"/>
      <w:pgMar w:top="1440" w:right="1800" w:bottom="1440" w:left="1800" w:header="851"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第</w:t>
    </w:r>
    <w:sdt>
      <w:sdtPr>
        <w:id w:val="-107119245"/>
        <w:docPartObj>
          <w:docPartGallery w:val="autotext"/>
        </w:docPartObj>
      </w:sdtPr>
      <w:sdtContent>
        <w:r>
          <w:fldChar w:fldCharType="begin"/>
        </w:r>
        <w:r>
          <w:instrText xml:space="preserve">PAGE   \* MERGEFORMAT</w:instrText>
        </w:r>
        <w:r>
          <w:fldChar w:fldCharType="separate"/>
        </w:r>
        <w:r>
          <w:rPr>
            <w:lang w:val="zh-CN"/>
          </w:rPr>
          <w:t>2</w:t>
        </w:r>
        <w:r>
          <w:fldChar w:fldCharType="end"/>
        </w:r>
        <w:r>
          <w:rPr>
            <w:rFonts w:hint="eastAsia"/>
          </w:rPr>
          <w:t>页/共</w:t>
        </w:r>
        <w:r>
          <w:fldChar w:fldCharType="begin"/>
        </w:r>
        <w:r>
          <w:instrText xml:space="preserve"> NUMPAGES  \* Arabic  \* MERGEFORMAT </w:instrText>
        </w:r>
        <w:r>
          <w:fldChar w:fldCharType="separate"/>
        </w:r>
        <w:r>
          <w:t>10</w:t>
        </w:r>
        <w:r>
          <w:fldChar w:fldCharType="end"/>
        </w:r>
        <w:r>
          <w:rPr>
            <w:rFonts w:hint="eastAsia"/>
          </w:rPr>
          <w:t>页</w:t>
        </w:r>
      </w:sdtContent>
    </w:sdt>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hhMDFkYTkxYWIxNTc2Zjc5M2JlNTkyZGZlZWIwZWUifQ=="/>
  </w:docVars>
  <w:rsids>
    <w:rsidRoot w:val="000C76E8"/>
    <w:rsid w:val="000C76E8"/>
    <w:rsid w:val="00806D2E"/>
    <w:rsid w:val="03597303"/>
    <w:rsid w:val="05915B61"/>
    <w:rsid w:val="0E3938B2"/>
    <w:rsid w:val="1AB43EC4"/>
    <w:rsid w:val="20A36C18"/>
    <w:rsid w:val="54D63A65"/>
    <w:rsid w:val="5C2B0FDF"/>
    <w:rsid w:val="5EE4489F"/>
    <w:rsid w:val="68E155BA"/>
    <w:rsid w:val="7E602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0"/>
    <w:autoRedefine/>
    <w:qFormat/>
    <w:uiPriority w:val="0"/>
    <w:pPr>
      <w:keepLines/>
      <w:spacing w:before="340" w:after="330"/>
      <w:jc w:val="left"/>
      <w:outlineLvl w:val="0"/>
    </w:pPr>
    <w:rPr>
      <w:rFonts w:eastAsia="黑体"/>
      <w:b/>
      <w:kern w:val="44"/>
      <w:sz w:val="32"/>
    </w:rPr>
  </w:style>
  <w:style w:type="paragraph" w:styleId="5">
    <w:name w:val="heading 2"/>
    <w:basedOn w:val="1"/>
    <w:next w:val="1"/>
    <w:link w:val="11"/>
    <w:autoRedefine/>
    <w:qFormat/>
    <w:uiPriority w:val="0"/>
    <w:pPr>
      <w:keepNext/>
      <w:keepLines/>
      <w:spacing w:before="260" w:after="260"/>
      <w:outlineLvl w:val="1"/>
    </w:pPr>
    <w:rPr>
      <w:rFonts w:ascii="Arial" w:hAnsi="Arial" w:eastAsia="楷体"/>
      <w:b/>
      <w:sz w:val="28"/>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link w:val="13"/>
    <w:autoRedefine/>
    <w:qFormat/>
    <w:uiPriority w:val="0"/>
    <w:pPr>
      <w:ind w:firstLine="420" w:firstLineChars="100"/>
    </w:pPr>
  </w:style>
  <w:style w:type="paragraph" w:styleId="3">
    <w:name w:val="Body Text"/>
    <w:basedOn w:val="1"/>
    <w:link w:val="12"/>
    <w:autoRedefine/>
    <w:semiHidden/>
    <w:unhideWhenUsed/>
    <w:qFormat/>
    <w:uiPriority w:val="99"/>
    <w:pPr>
      <w:spacing w:after="120"/>
    </w:pPr>
  </w:style>
  <w:style w:type="paragraph" w:styleId="6">
    <w:name w:val="footer"/>
    <w:basedOn w:val="1"/>
    <w:link w:val="14"/>
    <w:autoRedefine/>
    <w:qFormat/>
    <w:uiPriority w:val="99"/>
    <w:pPr>
      <w:tabs>
        <w:tab w:val="center" w:pos="4153"/>
        <w:tab w:val="right" w:pos="8306"/>
      </w:tabs>
      <w:snapToGrid w:val="0"/>
      <w:jc w:val="left"/>
    </w:pPr>
    <w:rPr>
      <w:sz w:val="18"/>
      <w:szCs w:val="18"/>
    </w:rPr>
  </w:style>
  <w:style w:type="table" w:styleId="8">
    <w:name w:val="Table Grid"/>
    <w:basedOn w:val="7"/>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1 字符"/>
    <w:basedOn w:val="9"/>
    <w:link w:val="4"/>
    <w:autoRedefine/>
    <w:qFormat/>
    <w:uiPriority w:val="0"/>
    <w:rPr>
      <w:rFonts w:ascii="Times New Roman" w:hAnsi="Times New Roman" w:eastAsia="黑体" w:cs="Times New Roman"/>
      <w:b/>
      <w:kern w:val="44"/>
      <w:sz w:val="32"/>
      <w:szCs w:val="24"/>
    </w:rPr>
  </w:style>
  <w:style w:type="character" w:customStyle="1" w:styleId="11">
    <w:name w:val="标题 2 字符"/>
    <w:basedOn w:val="9"/>
    <w:link w:val="5"/>
    <w:autoRedefine/>
    <w:qFormat/>
    <w:uiPriority w:val="0"/>
    <w:rPr>
      <w:rFonts w:ascii="Arial" w:hAnsi="Arial" w:eastAsia="楷体" w:cs="Times New Roman"/>
      <w:b/>
      <w:sz w:val="28"/>
      <w:szCs w:val="24"/>
    </w:rPr>
  </w:style>
  <w:style w:type="character" w:customStyle="1" w:styleId="12">
    <w:name w:val="正文文本 字符"/>
    <w:basedOn w:val="9"/>
    <w:link w:val="3"/>
    <w:autoRedefine/>
    <w:semiHidden/>
    <w:qFormat/>
    <w:uiPriority w:val="99"/>
    <w:rPr>
      <w:rFonts w:ascii="Times New Roman" w:hAnsi="Times New Roman" w:eastAsia="宋体" w:cs="Times New Roman"/>
      <w:szCs w:val="24"/>
    </w:rPr>
  </w:style>
  <w:style w:type="character" w:customStyle="1" w:styleId="13">
    <w:name w:val="正文文本首行缩进 字符"/>
    <w:basedOn w:val="12"/>
    <w:link w:val="2"/>
    <w:autoRedefine/>
    <w:qFormat/>
    <w:uiPriority w:val="0"/>
    <w:rPr>
      <w:rFonts w:ascii="Times New Roman" w:hAnsi="Times New Roman" w:eastAsia="宋体" w:cs="Times New Roman"/>
      <w:szCs w:val="24"/>
    </w:rPr>
  </w:style>
  <w:style w:type="character" w:customStyle="1" w:styleId="14">
    <w:name w:val="页脚 字符"/>
    <w:basedOn w:val="9"/>
    <w:link w:val="6"/>
    <w:autoRedefine/>
    <w:qFormat/>
    <w:uiPriority w:val="99"/>
    <w:rPr>
      <w:rFonts w:ascii="Times New Roman" w:hAnsi="Times New Roman" w:eastAsia="宋体" w:cs="Times New Roman"/>
      <w:sz w:val="18"/>
      <w:szCs w:val="18"/>
    </w:rPr>
  </w:style>
  <w:style w:type="paragraph" w:customStyle="1" w:styleId="15">
    <w:name w:val="列表段落1"/>
    <w:basedOn w:val="1"/>
    <w:autoRedefine/>
    <w:qFormat/>
    <w:uiPriority w:val="34"/>
    <w:pPr>
      <w:ind w:firstLine="420"/>
    </w:pPr>
  </w:style>
  <w:style w:type="paragraph" w:styleId="16">
    <w:name w:val="List Paragraph"/>
    <w:basedOn w:val="1"/>
    <w:autoRedefine/>
    <w:qFormat/>
    <w:uiPriority w:val="34"/>
    <w:pPr>
      <w:ind w:firstLine="420" w:firstLineChars="200"/>
    </w:pPr>
  </w:style>
  <w:style w:type="character" w:customStyle="1" w:styleId="17">
    <w:name w:val="font11"/>
    <w:basedOn w:val="9"/>
    <w:autoRedefine/>
    <w:qFormat/>
    <w:uiPriority w:val="0"/>
    <w:rPr>
      <w:rFonts w:hint="eastAsia" w:ascii="仿宋" w:hAnsi="仿宋" w:eastAsia="仿宋" w:cs="仿宋"/>
      <w:b/>
      <w:bCs/>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833</Words>
  <Characters>4753</Characters>
  <Lines>39</Lines>
  <Paragraphs>11</Paragraphs>
  <TotalTime>2</TotalTime>
  <ScaleCrop>false</ScaleCrop>
  <LinksUpToDate>false</LinksUpToDate>
  <CharactersWithSpaces>5575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2024-03-04T14:15:00Z</dcterms:created>
  <dc:creator>程 坤</dc:creator>
  <cp:lastModifiedBy>CR</cp:lastModifiedBy>
  <dcterms:modified xsi:type="dcterms:W3CDTF">2024-03-15T09:54:05Z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3D0839DAF71E47B79DCDE2E2E0087C63_13</vt:lpwstr>
  </property>
</Properties>
</file>